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59" w:rsidRPr="00F02013" w:rsidRDefault="00F02013" w:rsidP="00F02013">
      <w:pPr>
        <w:spacing w:after="0"/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Saskaņā ar MK noteikumu N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r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.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="00C62CC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391</w:t>
      </w:r>
      <w:r w:rsidR="00D812D8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“</w:t>
      </w:r>
      <w:r w:rsidR="002110E4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Ārstniecības personu  sertifikācijas kārtība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” </w:t>
      </w:r>
      <w:r w:rsidR="00C62CC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51.</w:t>
      </w:r>
      <w:r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punktu “p</w:t>
      </w:r>
      <w:r w:rsidR="007D095D" w:rsidRPr="00F02013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ar profesionālās un zinātniskās darbības un tālākizglītības pasākumiem sertifikāta derīguma termiņa </w:t>
      </w:r>
    </w:p>
    <w:p w:rsidR="00F02013" w:rsidRPr="001D2EDA" w:rsidRDefault="007D095D" w:rsidP="00F02013">
      <w:pPr>
        <w:spacing w:after="0"/>
        <w:jc w:val="both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</w:pPr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laikā </w:t>
      </w:r>
      <w:r w:rsidRPr="001D2EDA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ārsta</w:t>
      </w:r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un zobārsta </w:t>
      </w:r>
      <w:proofErr w:type="spellStart"/>
      <w:r w:rsidRPr="001D2EDA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pamatspecialitātēs</w:t>
      </w:r>
      <w:proofErr w:type="spellEnd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apakšspecialitātēs</w:t>
      </w:r>
      <w:proofErr w:type="spellEnd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papildspecialitātēs</w:t>
      </w:r>
      <w:proofErr w:type="spellEnd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, kā arī fizioterapeita</w:t>
      </w:r>
      <w:r w:rsidR="00F02013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pamatspecialitātē</w:t>
      </w:r>
      <w:proofErr w:type="spellEnd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Pr="001D2EDA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ir nepieciešams iegūt 250 tālākizglītības pun</w:t>
      </w:r>
      <w:r w:rsidR="00F02013" w:rsidRPr="001D2EDA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ktus</w:t>
      </w:r>
      <w:r w:rsidR="00F02013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 vecmātes profesijas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pamatspecialitātē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  – 100 tālākizglītības punktus, pārējo ārstniecības personu profesiju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pamatspecialitātēs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apakšspecialitātēs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papildspecialitātēs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– 150 tālākizglītības punktus, ārstnieciskajā vai diagnostiskajā metodē – 100 tālākizglītības punktus, no kuriem vismaz 60% ir iegūti par profesionālās un zinātniskās darbības un tālākizglītības pasākumiem, kas attiecināmi uz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resertificējamās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ārstniecības personas profesionālo darbību sertifikātā norādītajā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pamatspecialitātē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apakšspecialitātē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, </w:t>
      </w:r>
      <w:proofErr w:type="spellStart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papildspecialitātē</w:t>
      </w:r>
      <w:proofErr w:type="spellEnd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vai ārstnieciskajā vai diagnostiskajā metodē (par profesionālās un zinātniskās darbības un tālākizglītības pasākumu, kas nav iekļauts šo noteikumu </w:t>
      </w:r>
      <w:hyperlink r:id="rId4" w:anchor="piel5" w:history="1">
        <w:r w:rsidR="00C62CCA" w:rsidRPr="001D2EDA">
          <w:rPr>
            <w:rStyle w:val="Hyperlink"/>
            <w:rFonts w:ascii="Times New Roman" w:hAnsi="Times New Roman" w:cs="Times New Roman"/>
            <w:color w:val="16497B"/>
            <w:sz w:val="24"/>
            <w:szCs w:val="24"/>
            <w:u w:val="none"/>
            <w:shd w:val="clear" w:color="auto" w:fill="FFFFFF"/>
            <w:lang w:val="lv-LV"/>
          </w:rPr>
          <w:t>5. pielikumā</w:t>
        </w:r>
      </w:hyperlink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 un kuru sertifikācijas komisija vērtē kā nozīmīgu, tālākizglītības punktu skaitu nosaka pēc uzskaitīto aktivitāšu pielīdzināšanas principa)</w:t>
      </w:r>
      <w:r w:rsidR="00D812D8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”</w:t>
      </w:r>
      <w:bookmarkStart w:id="0" w:name="_GoBack"/>
      <w:bookmarkEnd w:id="0"/>
      <w:r w:rsidR="00C62CCA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.</w:t>
      </w:r>
    </w:p>
    <w:p w:rsidR="006715A5" w:rsidRPr="00B85952" w:rsidRDefault="00AE6277" w:rsidP="00B85952">
      <w:pPr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</w:pPr>
      <w:proofErr w:type="spellStart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Resertifikācijas</w:t>
      </w:r>
      <w:proofErr w:type="spellEnd"/>
      <w:r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lapas </w:t>
      </w:r>
      <w:r w:rsid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(</w:t>
      </w:r>
      <w:r w:rsidR="002110E4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3.pielikum</w:t>
      </w:r>
      <w:r w:rsid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s)</w:t>
      </w:r>
      <w:r w:rsidR="002110E4" w:rsidRPr="001D2EDA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Pr="001D2EDA"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t>12. punkts “</w:t>
      </w:r>
      <w:r w:rsidR="00C62CCA" w:rsidRPr="001D2EDA">
        <w:rPr>
          <w:rFonts w:ascii="Times New Roman" w:hAnsi="Times New Roman" w:cs="Times New Roman"/>
          <w:sz w:val="24"/>
          <w:szCs w:val="24"/>
          <w:lang w:val="lv-LV"/>
        </w:rPr>
        <w:t>Informācija par profesionālo un zinātnisko darbību un tālākizglītības pasākumiem sertifikāta derīguma termiņa laikā</w:t>
      </w:r>
      <w:r w:rsidR="00C62CCA" w:rsidRPr="001D2ED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62CCA">
        <w:rPr>
          <w:vertAlign w:val="superscript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 w:eastAsia="ru-RU"/>
        </w:rPr>
        <w:t xml:space="preserve">” </w:t>
      </w:r>
      <w:r w:rsidR="002110E4" w:rsidRPr="001D2EDA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 w:eastAsia="ru-RU"/>
        </w:rPr>
        <w:t xml:space="preserve">jāaizpilda atbilstoši </w:t>
      </w:r>
      <w:r w:rsidR="00F02013" w:rsidRPr="001D2EDA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 w:eastAsia="ru-RU"/>
        </w:rPr>
        <w:t>MK noteikumu Nr. 3</w:t>
      </w:r>
      <w:r w:rsidR="00C62CCA" w:rsidRPr="001D2EDA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 w:eastAsia="ru-RU"/>
        </w:rPr>
        <w:t>91</w:t>
      </w:r>
      <w:r w:rsidR="00F02013" w:rsidRPr="001D2EDA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 w:eastAsia="ru-RU"/>
        </w:rPr>
        <w:t xml:space="preserve"> </w:t>
      </w:r>
      <w:r w:rsidR="00C62CCA" w:rsidRPr="001D2EDA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 w:eastAsia="ru-RU"/>
        </w:rPr>
        <w:t>4</w:t>
      </w:r>
      <w:r w:rsidR="00DE0078" w:rsidRPr="001D2EDA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 w:eastAsia="ru-RU"/>
        </w:rPr>
        <w:t>. pielikumā norādīto punktu skaitam (TIP)</w:t>
      </w:r>
      <w:r w:rsidR="002110E4" w:rsidRPr="001D2EDA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 w:eastAsia="ru-RU"/>
        </w:rPr>
        <w:t xml:space="preserve"> sekojoši: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3523"/>
        <w:gridCol w:w="1925"/>
        <w:gridCol w:w="3845"/>
      </w:tblGrid>
      <w:tr w:rsidR="006715A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Nr.</w:t>
            </w: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br/>
              <w:t>p.k.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Darbības veids</w:t>
            </w: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Laikposms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715A5" w:rsidRPr="00B85952" w:rsidRDefault="006715A5" w:rsidP="0067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ru-RU"/>
              </w:rPr>
              <w:t>Tālākizglītības punktu skaits</w:t>
            </w:r>
          </w:p>
        </w:tc>
      </w:tr>
      <w:tr w:rsidR="006715A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  <w:r w:rsidR="002110E4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2110E4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Dalība </w:t>
            </w:r>
            <w:proofErr w:type="spellStart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pamatspeciālitātes</w:t>
            </w:r>
            <w:proofErr w:type="spellEnd"/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pediatrijā LPA </w:t>
            </w:r>
            <w:r w:rsidR="004939B5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organizētajos tālākizglītības pasākumos</w:t>
            </w: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 </w:t>
            </w:r>
            <w:r w:rsidR="004939B5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 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 </w:t>
            </w:r>
            <w:r w:rsidR="004939B5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Kopā 150</w:t>
            </w:r>
          </w:p>
        </w:tc>
      </w:tr>
      <w:tr w:rsidR="004939B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11.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6715A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1.2</w:t>
            </w:r>
            <w:r w:rsidR="002110E4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715A5" w:rsidRPr="00B85952" w:rsidRDefault="006715A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  <w:t> </w:t>
            </w:r>
          </w:p>
        </w:tc>
      </w:tr>
      <w:tr w:rsidR="004939B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1.3. utt</w:t>
            </w:r>
            <w:r w:rsidR="00F02013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8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ru-RU"/>
              </w:rPr>
            </w:pPr>
          </w:p>
        </w:tc>
      </w:tr>
      <w:tr w:rsidR="004939B5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hideMark/>
          </w:tcPr>
          <w:p w:rsidR="004939B5" w:rsidRPr="00B85952" w:rsidRDefault="004939B5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2.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4939B5" w:rsidRPr="00B85952" w:rsidRDefault="004939B5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Tālākizglītība kongresos, </w:t>
            </w:r>
            <w:r w:rsidR="00DE0078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konferencēs, simpozijos, seminā</w:t>
            </w: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ros </w:t>
            </w:r>
            <w:r w:rsidR="00DE0078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un citu organizāciju organizētajos   pasākumos Latvijā</w:t>
            </w: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4939B5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Kopā 100</w:t>
            </w:r>
            <w:r w:rsidR="00870D4A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( no 2-4.p)</w:t>
            </w:r>
          </w:p>
        </w:tc>
      </w:tr>
      <w:tr w:rsidR="00DE0078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B8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2.1.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B8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2.2. utt</w:t>
            </w:r>
            <w:r w:rsidR="00B85952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4939B5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  <w:p w:rsidR="004939B5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3.</w:t>
            </w:r>
          </w:p>
          <w:p w:rsidR="004939B5" w:rsidRPr="00B85952" w:rsidRDefault="004939B5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  <w:p w:rsidR="004939B5" w:rsidRPr="00B85952" w:rsidRDefault="004939B5" w:rsidP="0049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4939B5" w:rsidRPr="00B85952" w:rsidRDefault="00DE0078" w:rsidP="0049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T</w:t>
            </w:r>
            <w:r w:rsidR="00C62CC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ā</w:t>
            </w: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lākizglītība starpt</w:t>
            </w:r>
            <w:r w:rsidR="00F02013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autiskos kongresos, konferencēs</w:t>
            </w: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, simpozijos, semināros un citos pasākumos</w:t>
            </w: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  <w:p w:rsidR="004939B5" w:rsidRPr="00B85952" w:rsidRDefault="00DE0078" w:rsidP="0049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4939B5" w:rsidRPr="00B85952" w:rsidRDefault="004939B5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B85952" w:rsidRPr="00B85952" w:rsidRDefault="00B85952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3.1.</w:t>
            </w:r>
          </w:p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utt.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B85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4. 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Cita darbība atbilstoši </w:t>
            </w:r>
            <w:r w:rsidR="00C62CC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4</w:t>
            </w: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.pielikuma uzskaitītajām</w:t>
            </w: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B85952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Pēdējie</w:t>
            </w:r>
            <w:r w:rsidR="00DE0078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 xml:space="preserve"> pieci gadi</w:t>
            </w: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4.1.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4.2. utt</w:t>
            </w:r>
            <w:r w:rsidR="00B85952"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</w:tr>
      <w:tr w:rsidR="00DE0078" w:rsidRPr="00B85952" w:rsidTr="00F02013">
        <w:trPr>
          <w:trHeight w:val="37"/>
        </w:trPr>
        <w:tc>
          <w:tcPr>
            <w:tcW w:w="2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67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80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single" w:sz="4" w:space="0" w:color="auto"/>
            </w:tcBorders>
            <w:shd w:val="clear" w:color="auto" w:fill="FFFFFF"/>
          </w:tcPr>
          <w:p w:rsidR="00DE0078" w:rsidRPr="00B85952" w:rsidRDefault="00DE0078" w:rsidP="00DE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986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DE0078" w:rsidP="0049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</w:p>
        </w:tc>
        <w:tc>
          <w:tcPr>
            <w:tcW w:w="1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DE0078" w:rsidRPr="00B85952" w:rsidRDefault="00870D4A" w:rsidP="0067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</w:pPr>
            <w:r w:rsidRPr="00B8595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 w:eastAsia="ru-RU"/>
              </w:rPr>
              <w:t>Kopā</w:t>
            </w:r>
          </w:p>
        </w:tc>
      </w:tr>
    </w:tbl>
    <w:p w:rsidR="006715A5" w:rsidRPr="00DE0078" w:rsidRDefault="006715A5">
      <w:pPr>
        <w:rPr>
          <w:lang w:val="lv-LV"/>
        </w:rPr>
      </w:pPr>
    </w:p>
    <w:sectPr w:rsidR="006715A5" w:rsidRPr="00DE0078" w:rsidSect="00B8595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5D"/>
    <w:rsid w:val="001316C2"/>
    <w:rsid w:val="001D2EDA"/>
    <w:rsid w:val="002110E4"/>
    <w:rsid w:val="003B5459"/>
    <w:rsid w:val="004939B5"/>
    <w:rsid w:val="005A0EB3"/>
    <w:rsid w:val="006715A5"/>
    <w:rsid w:val="00764C6F"/>
    <w:rsid w:val="007D095D"/>
    <w:rsid w:val="00870D4A"/>
    <w:rsid w:val="00AE6277"/>
    <w:rsid w:val="00B85952"/>
    <w:rsid w:val="00C62CCA"/>
    <w:rsid w:val="00D812D8"/>
    <w:rsid w:val="00DE0078"/>
    <w:rsid w:val="00F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33DF"/>
  <w15:chartTrackingRefBased/>
  <w15:docId w15:val="{E0BC6C4F-1796-4318-ADDF-429E12B7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67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2C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352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Sanita Roģe</cp:lastModifiedBy>
  <cp:revision>10</cp:revision>
  <dcterms:created xsi:type="dcterms:W3CDTF">2024-06-26T11:29:00Z</dcterms:created>
  <dcterms:modified xsi:type="dcterms:W3CDTF">2024-06-26T11:52:00Z</dcterms:modified>
</cp:coreProperties>
</file>